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4716" w14:textId="58DAD615" w:rsidR="00985B46" w:rsidRDefault="00985B46"/>
    <w:p w14:paraId="5E53BB38" w14:textId="3237F26A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9"/>
        <w:gridCol w:w="6"/>
      </w:tblGrid>
      <w:tr w:rsidR="00985B46" w14:paraId="631C1ED7" w14:textId="77777777" w:rsidTr="00985B46">
        <w:tc>
          <w:tcPr>
            <w:tcW w:w="4672" w:type="dxa"/>
            <w:hideMark/>
          </w:tcPr>
          <w:p w14:paraId="4E873460" w14:textId="3C86097F"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  <w:gridSpan w:val="2"/>
            <w:hideMark/>
          </w:tcPr>
          <w:p w14:paraId="15D68E41" w14:textId="1A3A82FB"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33715" w:rsidRPr="006164CC" w14:paraId="7AC5EF98" w14:textId="77777777" w:rsidTr="000F5A67">
        <w:trPr>
          <w:gridAfter w:val="1"/>
          <w:wAfter w:w="6" w:type="dxa"/>
        </w:trPr>
        <w:tc>
          <w:tcPr>
            <w:tcW w:w="4669" w:type="dxa"/>
          </w:tcPr>
          <w:p w14:paraId="4E0CD705" w14:textId="77777777"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669" w:type="dxa"/>
          </w:tcPr>
          <w:p w14:paraId="4D4F6AED" w14:textId="77777777"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0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0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proofErr w:type="spellStart"/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proofErr w:type="spellEnd"/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1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1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lastRenderedPageBreak/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7800A117" w14:textId="5A7C1607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2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2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шрифт: Times New </w:t>
      </w:r>
      <w:proofErr w:type="spellStart"/>
      <w:r w:rsidRPr="005803EF">
        <w:rPr>
          <w:sz w:val="30"/>
          <w:szCs w:val="30"/>
        </w:rPr>
        <w:t>Roman</w:t>
      </w:r>
      <w:proofErr w:type="spellEnd"/>
      <w:r w:rsidRPr="005803EF">
        <w:rPr>
          <w:sz w:val="30"/>
          <w:szCs w:val="30"/>
        </w:rPr>
        <w:t>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</w:t>
      </w:r>
      <w:proofErr w:type="spellStart"/>
      <w:r w:rsidRPr="005803EF">
        <w:rPr>
          <w:sz w:val="30"/>
          <w:szCs w:val="30"/>
        </w:rPr>
        <w:t>pdf</w:t>
      </w:r>
      <w:proofErr w:type="spellEnd"/>
      <w:r w:rsidRPr="005803EF">
        <w:rPr>
          <w:sz w:val="30"/>
          <w:szCs w:val="30"/>
        </w:rPr>
        <w:t>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 xml:space="preserve">онкурса осуществляется </w:t>
      </w:r>
      <w:r w:rsidR="00B808D7" w:rsidRPr="00B808D7">
        <w:rPr>
          <w:bCs/>
          <w:sz w:val="30"/>
          <w:szCs w:val="30"/>
          <w:lang w:val="be-BY"/>
        </w:rPr>
        <w:lastRenderedPageBreak/>
        <w:t>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4C1DE839" w14:textId="77777777"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14:paraId="0FF517DA" w14:textId="48A0BEB1"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14:paraId="02B03A24" w14:textId="77777777"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2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63FE7687" w14:textId="117CB493"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3" w:name="_Hlk177368591"/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14:paraId="34161533" w14:textId="6B193B0E"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4E381E8B" w14:textId="1516F997"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14:paraId="41309365" w14:textId="7932797D"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6"/>
        <w:gridCol w:w="2565"/>
        <w:gridCol w:w="2290"/>
        <w:gridCol w:w="2580"/>
        <w:gridCol w:w="5657"/>
      </w:tblGrid>
      <w:tr w:rsidR="008103E6" w14:paraId="0882BC4C" w14:textId="77777777" w:rsidTr="007B21FD">
        <w:tc>
          <w:tcPr>
            <w:tcW w:w="2042" w:type="dxa"/>
          </w:tcPr>
          <w:p w14:paraId="7E01A12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F914D29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2449E3A8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41AF5BA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14:paraId="7F5B00C8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этап областной и </w:t>
            </w:r>
            <w:proofErr w:type="spellStart"/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г.Минск</w:t>
            </w:r>
            <w:proofErr w:type="spellEnd"/>
          </w:p>
        </w:tc>
        <w:tc>
          <w:tcPr>
            <w:tcW w:w="5817" w:type="dxa"/>
          </w:tcPr>
          <w:p w14:paraId="6139FBEE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14:paraId="127C7253" w14:textId="77777777" w:rsidTr="007B21FD">
        <w:tc>
          <w:tcPr>
            <w:tcW w:w="2042" w:type="dxa"/>
          </w:tcPr>
          <w:p w14:paraId="1A7E5321" w14:textId="77777777"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14:paraId="7B47D035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D0B7C70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0CB19FD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154DDC1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14:paraId="67002D4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14:paraId="0CD6B480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23D7379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14:paraId="013D1AE6" w14:textId="77777777" w:rsidTr="007B21FD">
        <w:tc>
          <w:tcPr>
            <w:tcW w:w="2042" w:type="dxa"/>
          </w:tcPr>
          <w:p w14:paraId="4B3AA528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23DEC28E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33DA7EF4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0452769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5805E001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746F5FA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6FB65D77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422C948B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434B6B2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3F5A2B5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5C0455C9" w14:textId="77777777" w:rsidTr="007B21FD">
        <w:tc>
          <w:tcPr>
            <w:tcW w:w="2042" w:type="dxa"/>
          </w:tcPr>
          <w:p w14:paraId="203D93D1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755C7D7C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7846EB1A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3B64000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11C22E13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616E3BD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14:paraId="5CFB4029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14:paraId="2DD94B8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04340DD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70307E79" w14:textId="77777777" w:rsidTr="007B21FD">
        <w:tc>
          <w:tcPr>
            <w:tcW w:w="2042" w:type="dxa"/>
          </w:tcPr>
          <w:p w14:paraId="2D5BE7F2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14:paraId="39DE064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5A3CA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78B430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4496D8A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6A03581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1D572BC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3436EDF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3A5529C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lastRenderedPageBreak/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3453ADF5" w14:textId="77777777" w:rsidTr="007B21FD">
        <w:tc>
          <w:tcPr>
            <w:tcW w:w="2042" w:type="dxa"/>
          </w:tcPr>
          <w:p w14:paraId="0F70D73B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lastRenderedPageBreak/>
              <w:t>Гродненская область</w:t>
            </w:r>
          </w:p>
          <w:p w14:paraId="76FD9BD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A517EA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2374687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3D886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649BA55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14:paraId="42230E2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14:paraId="55E2478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64DE043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8103E6" w14:paraId="4DD07EDC" w14:textId="77777777" w:rsidTr="007B21FD">
        <w:tc>
          <w:tcPr>
            <w:tcW w:w="2042" w:type="dxa"/>
          </w:tcPr>
          <w:p w14:paraId="094567E6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46AF9881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97A5E4F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680E78C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5A3FC072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AC6C66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6B65A5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CB3F41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EA93E86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06F5632A" w14:textId="77777777" w:rsidTr="007B21FD">
        <w:tc>
          <w:tcPr>
            <w:tcW w:w="2042" w:type="dxa"/>
          </w:tcPr>
          <w:p w14:paraId="529F9224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4EB64F3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309A62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4390B33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7B6F913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02230E8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5F1FEC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7FC8040A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374FEC1E" w14:textId="77777777"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102217B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9E9E6" w14:textId="77777777" w:rsidR="008103E6" w:rsidRDefault="008103E6" w:rsidP="008103E6"/>
    <w:bookmarkEnd w:id="3"/>
    <w:p w14:paraId="59C0647D" w14:textId="77777777"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C137" w14:textId="77777777" w:rsidR="00C05F8B" w:rsidRDefault="00C05F8B">
      <w:r>
        <w:separator/>
      </w:r>
    </w:p>
  </w:endnote>
  <w:endnote w:type="continuationSeparator" w:id="0">
    <w:p w14:paraId="1D1C3C73" w14:textId="77777777" w:rsidR="00C05F8B" w:rsidRDefault="00C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A858" w14:textId="77777777" w:rsidR="00C05F8B" w:rsidRDefault="00C05F8B"/>
  </w:footnote>
  <w:footnote w:type="continuationSeparator" w:id="0">
    <w:p w14:paraId="529DB3FB" w14:textId="77777777" w:rsidR="00C05F8B" w:rsidRDefault="00C05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11">
          <w:rPr>
            <w:noProof/>
          </w:rPr>
          <w:t>2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1011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0CB4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05F8B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0F409"/>
  <w15:docId w15:val="{0F051C25-1113-47B1-98F7-172E2A9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SEKRETAR-OTD-OBR</cp:lastModifiedBy>
  <cp:revision>2</cp:revision>
  <cp:lastPrinted>2024-09-26T14:50:00Z</cp:lastPrinted>
  <dcterms:created xsi:type="dcterms:W3CDTF">2024-09-26T14:50:00Z</dcterms:created>
  <dcterms:modified xsi:type="dcterms:W3CDTF">2024-09-26T14:50:00Z</dcterms:modified>
</cp:coreProperties>
</file>